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C5" w:rsidRDefault="00382954">
      <w:r>
        <w:rPr>
          <w:noProof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137160</wp:posOffset>
            </wp:positionH>
            <wp:positionV relativeFrom="paragraph">
              <wp:posOffset>-200025</wp:posOffset>
            </wp:positionV>
            <wp:extent cx="2571750" cy="838200"/>
            <wp:effectExtent l="0" t="0" r="0" b="0"/>
            <wp:wrapTight wrapText="bothSides">
              <wp:wrapPolygon edited="0">
                <wp:start x="-960" y="425"/>
                <wp:lineTo x="-960" y="21273"/>
                <wp:lineTo x="22560" y="21273"/>
                <wp:lineTo x="22560" y="425"/>
                <wp:lineTo x="-960" y="425"/>
              </wp:wrapPolygon>
            </wp:wrapTight>
            <wp:docPr id="1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8382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:rsidR="00E736C5" w:rsidRDefault="00E736C5"/>
    <w:p w:rsidR="00E736C5" w:rsidRDefault="00E736C5"/>
    <w:p w:rsidR="00E736C5" w:rsidRDefault="00E736C5"/>
    <w:p w:rsidR="00E736C5" w:rsidRDefault="00382954">
      <w:pPr>
        <w:spacing w:line="660" w:lineRule="exact"/>
        <w:jc w:val="center"/>
        <w:rPr>
          <w:rFonts w:ascii="Cambria" w:eastAsia="Cambria" w:hAnsi="Cambria" w:cs="微软雅黑"/>
          <w:b/>
          <w:bCs/>
          <w:color w:val="990000"/>
          <w:sz w:val="36"/>
          <w:szCs w:val="36"/>
        </w:rPr>
      </w:pPr>
      <w:r>
        <w:rPr>
          <w:rFonts w:ascii="Cambria" w:eastAsia="Cambria" w:hAnsi="Cambria" w:cs="微软雅黑" w:hint="eastAsia"/>
          <w:b/>
          <w:bCs/>
          <w:color w:val="990000"/>
          <w:sz w:val="36"/>
          <w:szCs w:val="36"/>
        </w:rPr>
        <w:t>北京大学私募股权投资</w:t>
      </w:r>
      <w:r>
        <w:rPr>
          <w:rFonts w:ascii="Cambria" w:eastAsia="Cambria" w:hAnsi="Cambria" w:cs="微软雅黑" w:hint="eastAsia"/>
          <w:b/>
          <w:bCs/>
          <w:color w:val="990000"/>
          <w:sz w:val="36"/>
          <w:szCs w:val="36"/>
        </w:rPr>
        <w:t>(PE)</w:t>
      </w:r>
      <w:r>
        <w:rPr>
          <w:rFonts w:ascii="Cambria" w:eastAsia="Cambria" w:hAnsi="Cambria" w:cs="微软雅黑" w:hint="eastAsia"/>
          <w:b/>
          <w:bCs/>
          <w:color w:val="990000"/>
          <w:sz w:val="36"/>
          <w:szCs w:val="36"/>
        </w:rPr>
        <w:t>高级研修班</w:t>
      </w:r>
    </w:p>
    <w:p w:rsidR="00E736C5" w:rsidRDefault="00382954">
      <w:pPr>
        <w:spacing w:line="660" w:lineRule="exact"/>
        <w:jc w:val="center"/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ascii="宋体" w:hAnsi="宋体"/>
          <w:sz w:val="28"/>
          <w:szCs w:val="28"/>
          <w:shd w:val="clear" w:color="auto" w:fill="FFFFFF"/>
        </w:rPr>
        <w:t>学习必须是一种习惯，一切都在变唯有学习不能变</w:t>
      </w:r>
    </w:p>
    <w:p w:rsidR="00E736C5" w:rsidRDefault="00382954">
      <w:pPr>
        <w:spacing w:line="500" w:lineRule="exact"/>
        <w:ind w:firstLine="240"/>
        <w:rPr>
          <w:sz w:val="24"/>
        </w:rPr>
      </w:pPr>
      <w:r>
        <w:rPr>
          <w:rFonts w:hint="eastAsia"/>
          <w:sz w:val="24"/>
        </w:rPr>
        <w:t>十年前，中国还没有</w:t>
      </w:r>
      <w:r>
        <w:rPr>
          <w:rFonts w:hint="eastAsia"/>
          <w:sz w:val="24"/>
        </w:rPr>
        <w:t>PE</w:t>
      </w:r>
      <w:r>
        <w:rPr>
          <w:rFonts w:hint="eastAsia"/>
          <w:sz w:val="24"/>
        </w:rPr>
        <w:t>市场。如今，在强有力的政府支持和迅速发展的中小企业经济的推动下，中国的</w:t>
      </w:r>
      <w:r>
        <w:rPr>
          <w:rFonts w:hint="eastAsia"/>
          <w:sz w:val="24"/>
        </w:rPr>
        <w:t>PE</w:t>
      </w:r>
      <w:r>
        <w:rPr>
          <w:rFonts w:hint="eastAsia"/>
          <w:sz w:val="24"/>
        </w:rPr>
        <w:t>市场已占据全球投资总量的</w:t>
      </w:r>
      <w:r>
        <w:rPr>
          <w:rFonts w:hint="eastAsia"/>
          <w:sz w:val="24"/>
        </w:rPr>
        <w:t>10%</w:t>
      </w:r>
      <w:r>
        <w:rPr>
          <w:rFonts w:hint="eastAsia"/>
          <w:sz w:val="24"/>
        </w:rPr>
        <w:t>左右，是国际</w:t>
      </w:r>
      <w:r>
        <w:rPr>
          <w:rFonts w:hint="eastAsia"/>
          <w:sz w:val="24"/>
        </w:rPr>
        <w:t>PE</w:t>
      </w:r>
      <w:r>
        <w:rPr>
          <w:rFonts w:hint="eastAsia"/>
          <w:sz w:val="24"/>
        </w:rPr>
        <w:t>基金不能忽视的重要目标，在资助中小企业发展、协助其国际化进程、帮助其改善业务模式上发挥着越来越重要的作用。然而中国的</w:t>
      </w:r>
      <w:r>
        <w:rPr>
          <w:rFonts w:hint="eastAsia"/>
          <w:sz w:val="24"/>
        </w:rPr>
        <w:t>PE</w:t>
      </w:r>
      <w:r>
        <w:rPr>
          <w:rFonts w:hint="eastAsia"/>
          <w:sz w:val="24"/>
        </w:rPr>
        <w:t>市场也有其显而易见地独特性与制约性。国内退出机制的不理想，国家政策的不确定性管制，行业投资限制，法律对公司的制约乃至诚信体系的不健全等等，</w:t>
      </w:r>
      <w:r>
        <w:rPr>
          <w:rFonts w:hint="eastAsia"/>
          <w:sz w:val="24"/>
        </w:rPr>
        <w:t>PE</w:t>
      </w:r>
      <w:r>
        <w:rPr>
          <w:rFonts w:hint="eastAsia"/>
          <w:sz w:val="24"/>
        </w:rPr>
        <w:t>市场由最初的高速发展进入了缓慢的调整巩固期，市场环境焕然一新，然而新环境有新的机遇与挑战。如何充分适应市场新</w:t>
      </w:r>
      <w:r>
        <w:rPr>
          <w:rFonts w:hint="eastAsia"/>
          <w:sz w:val="24"/>
        </w:rPr>
        <w:t>环境中的特点，准确定位中国创业投资与私募股权投资目标，创造价值最大化，是我国企业家、投资者和政府负责人应该重点解决的课题。</w:t>
      </w:r>
    </w:p>
    <w:p w:rsidR="00E736C5" w:rsidRDefault="00382954">
      <w:pPr>
        <w:spacing w:line="500" w:lineRule="exact"/>
        <w:ind w:firstLine="240"/>
        <w:rPr>
          <w:sz w:val="24"/>
        </w:rPr>
      </w:pPr>
      <w:r>
        <w:rPr>
          <w:rFonts w:hint="eastAsia"/>
          <w:sz w:val="24"/>
        </w:rPr>
        <w:t>为此，北京大学私募股权投资（</w:t>
      </w:r>
      <w:r>
        <w:rPr>
          <w:rFonts w:hint="eastAsia"/>
          <w:sz w:val="24"/>
        </w:rPr>
        <w:t>PE</w:t>
      </w:r>
      <w:r>
        <w:rPr>
          <w:rFonts w:hint="eastAsia"/>
          <w:sz w:val="24"/>
        </w:rPr>
        <w:t>）高级研修课程通过深入探讨中国当前经济形势与国内外</w:t>
      </w:r>
      <w:r>
        <w:rPr>
          <w:rFonts w:hint="eastAsia"/>
          <w:sz w:val="24"/>
        </w:rPr>
        <w:t>PE</w:t>
      </w:r>
      <w:r>
        <w:rPr>
          <w:rFonts w:hint="eastAsia"/>
          <w:sz w:val="24"/>
        </w:rPr>
        <w:t>发展趋势，理解企业在中国乃至全球资本市场的具体实践，获取全球最先进的投资理念与资讯，掌握企业资本运营的战略及战术，实现企业稳健的跨越式发展，培养世界级的中国投资家，打造中国资本沟通交流平台</w:t>
      </w:r>
      <w:r>
        <w:rPr>
          <w:rFonts w:hint="eastAsia"/>
          <w:sz w:val="24"/>
        </w:rPr>
        <w:t>.</w:t>
      </w:r>
    </w:p>
    <w:p w:rsidR="00E736C5" w:rsidRDefault="00382954">
      <w:pPr>
        <w:spacing w:line="500" w:lineRule="exact"/>
        <w:ind w:firstLine="960"/>
        <w:rPr>
          <w:color w:val="C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-64770</wp:posOffset>
            </wp:positionH>
            <wp:positionV relativeFrom="paragraph">
              <wp:posOffset>51435</wp:posOffset>
            </wp:positionV>
            <wp:extent cx="5391785" cy="284480"/>
            <wp:effectExtent l="0" t="0" r="0" b="0"/>
            <wp:wrapNone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1785" cy="28448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C00000"/>
          <w:sz w:val="24"/>
          <w:szCs w:val="24"/>
        </w:rPr>
        <w:t>【课程特色】</w:t>
      </w:r>
    </w:p>
    <w:p w:rsidR="00E736C5" w:rsidRDefault="00382954">
      <w:pPr>
        <w:spacing w:line="5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实战课堂</w:t>
      </w:r>
    </w:p>
    <w:p w:rsidR="00E736C5" w:rsidRDefault="00382954">
      <w:pPr>
        <w:spacing w:line="500" w:lineRule="exact"/>
        <w:ind w:firstLine="840"/>
        <w:rPr>
          <w:sz w:val="24"/>
          <w:szCs w:val="24"/>
        </w:rPr>
      </w:pPr>
      <w:r>
        <w:rPr>
          <w:sz w:val="24"/>
          <w:szCs w:val="24"/>
        </w:rPr>
        <w:t>咨询式培训，为解决问题而教学。</w:t>
      </w:r>
    </w:p>
    <w:p w:rsidR="00E736C5" w:rsidRDefault="00382954">
      <w:pPr>
        <w:spacing w:line="50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企业微咨询案</w:t>
      </w:r>
      <w:r>
        <w:rPr>
          <w:sz w:val="24"/>
          <w:szCs w:val="24"/>
        </w:rPr>
        <w:t>”</w:t>
      </w:r>
      <w:r>
        <w:rPr>
          <w:sz w:val="24"/>
          <w:szCs w:val="24"/>
        </w:rPr>
        <w:t>不谈理念，只谈问题，现场诊断。</w:t>
      </w:r>
    </w:p>
    <w:p w:rsidR="00E736C5" w:rsidRDefault="00382954">
      <w:pPr>
        <w:spacing w:line="5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资本</w:t>
      </w:r>
      <w:r>
        <w:rPr>
          <w:b/>
          <w:sz w:val="24"/>
          <w:szCs w:val="24"/>
        </w:rPr>
        <w:t>对接</w:t>
      </w:r>
    </w:p>
    <w:p w:rsidR="00E736C5" w:rsidRDefault="00382954">
      <w:pPr>
        <w:spacing w:line="500" w:lineRule="exact"/>
        <w:ind w:left="838"/>
        <w:rPr>
          <w:sz w:val="24"/>
          <w:szCs w:val="24"/>
        </w:rPr>
      </w:pPr>
      <w:r>
        <w:rPr>
          <w:sz w:val="24"/>
          <w:szCs w:val="24"/>
        </w:rPr>
        <w:t>定期举办融资路演大会、小型资本面对面等活动，组织国内外知名投资机构投资人点评，对接学员优秀项目，扩大企业融资途径，最大程度的解决学员企业的投融资渠道。</w:t>
      </w:r>
    </w:p>
    <w:p w:rsidR="00E736C5" w:rsidRDefault="00382954">
      <w:pPr>
        <w:spacing w:line="500" w:lineRule="exact"/>
        <w:ind w:firstLine="840"/>
        <w:rPr>
          <w:color w:val="C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-64770</wp:posOffset>
            </wp:positionH>
            <wp:positionV relativeFrom="paragraph">
              <wp:posOffset>54610</wp:posOffset>
            </wp:positionV>
            <wp:extent cx="5503545" cy="284480"/>
            <wp:effectExtent l="0" t="0" r="0" b="0"/>
            <wp:wrapNone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3545" cy="28448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C00000"/>
          <w:sz w:val="24"/>
          <w:szCs w:val="24"/>
        </w:rPr>
        <w:t>【课程价值】</w:t>
      </w:r>
    </w:p>
    <w:p w:rsidR="00E736C5" w:rsidRDefault="00382954">
      <w:pPr>
        <w:spacing w:line="500" w:lineRule="exact"/>
        <w:ind w:left="838"/>
        <w:rPr>
          <w:sz w:val="24"/>
          <w:szCs w:val="24"/>
        </w:rPr>
      </w:pPr>
      <w:r>
        <w:rPr>
          <w:sz w:val="24"/>
          <w:szCs w:val="24"/>
        </w:rPr>
        <w:t>项目剖析与投资分析：学会全面了解一个投资项目的价值点，洞悉其商业模式，行业展望，市场预期，判断价值风险；做出正确的投资分析与决断。</w:t>
      </w:r>
    </w:p>
    <w:p w:rsidR="00E736C5" w:rsidRDefault="00382954">
      <w:pPr>
        <w:spacing w:line="500" w:lineRule="exact"/>
        <w:ind w:left="838"/>
        <w:rPr>
          <w:sz w:val="24"/>
          <w:szCs w:val="24"/>
        </w:rPr>
      </w:pPr>
      <w:r>
        <w:rPr>
          <w:sz w:val="24"/>
          <w:szCs w:val="24"/>
        </w:rPr>
        <w:t>在这里我们将形成</w:t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学习</w:t>
      </w:r>
      <w:r>
        <w:rPr>
          <w:b/>
          <w:sz w:val="24"/>
          <w:szCs w:val="24"/>
        </w:rPr>
        <w:t>+</w:t>
      </w:r>
      <w:r>
        <w:rPr>
          <w:b/>
          <w:sz w:val="24"/>
          <w:szCs w:val="24"/>
        </w:rPr>
        <w:t>市值提升</w:t>
      </w:r>
      <w:r>
        <w:rPr>
          <w:b/>
          <w:sz w:val="24"/>
          <w:szCs w:val="24"/>
        </w:rPr>
        <w:t>+</w:t>
      </w:r>
      <w:r>
        <w:rPr>
          <w:b/>
          <w:sz w:val="24"/>
          <w:szCs w:val="24"/>
        </w:rPr>
        <w:t>项目咨询</w:t>
      </w:r>
      <w:r>
        <w:rPr>
          <w:b/>
          <w:sz w:val="24"/>
          <w:szCs w:val="24"/>
        </w:rPr>
        <w:t>+</w:t>
      </w:r>
      <w:r>
        <w:rPr>
          <w:b/>
          <w:sz w:val="24"/>
          <w:szCs w:val="24"/>
        </w:rPr>
        <w:t>投融资对接</w:t>
      </w:r>
      <w:r>
        <w:rPr>
          <w:b/>
          <w:sz w:val="24"/>
          <w:szCs w:val="24"/>
        </w:rPr>
        <w:t>+</w:t>
      </w:r>
      <w:r>
        <w:rPr>
          <w:b/>
          <w:sz w:val="24"/>
          <w:szCs w:val="24"/>
        </w:rPr>
        <w:t>实战模拟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>的独特方式，汇聚券商、律师事务所、会计事务所、投资机构相关领域的强大智库团队，助力企业新的飞跃。</w:t>
      </w:r>
    </w:p>
    <w:p w:rsidR="00E736C5" w:rsidRDefault="00382954">
      <w:pPr>
        <w:pStyle w:val="a7"/>
        <w:spacing w:before="0" w:beforeAutospacing="0" w:after="0" w:afterAutospacing="0" w:line="270" w:lineRule="atLeast"/>
        <w:ind w:firstLine="720"/>
        <w:jc w:val="both"/>
        <w:rPr>
          <w:rFonts w:ascii="Cambria" w:eastAsia="Cambria" w:hAnsi="Cambria"/>
          <w:bCs/>
          <w:color w:val="C00000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-64770</wp:posOffset>
            </wp:positionH>
            <wp:positionV relativeFrom="paragraph">
              <wp:posOffset>-52070</wp:posOffset>
            </wp:positionV>
            <wp:extent cx="5503545" cy="284480"/>
            <wp:effectExtent l="0" t="0" r="0" b="0"/>
            <wp:wrapNone/>
            <wp:docPr id="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3545" cy="28448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eastAsia="Cambria" w:hAnsi="Cambria" w:hint="eastAsia"/>
          <w:bCs/>
          <w:color w:val="C00000"/>
        </w:rPr>
        <w:t>【私募课程</w:t>
      </w:r>
      <w:r>
        <w:rPr>
          <w:rFonts w:ascii="Cambria" w:eastAsia="Cambria" w:hAnsi="Cambria"/>
          <w:bCs/>
          <w:color w:val="C00000"/>
        </w:rPr>
        <w:t>设计</w:t>
      </w:r>
      <w:r>
        <w:rPr>
          <w:rFonts w:ascii="Cambria" w:eastAsia="Cambria" w:hAnsi="Cambria" w:hint="eastAsia"/>
          <w:bCs/>
          <w:color w:val="C00000"/>
        </w:rPr>
        <w:t>】</w:t>
      </w:r>
    </w:p>
    <w:p w:rsidR="00E736C5" w:rsidRDefault="00E736C5">
      <w:pPr>
        <w:pStyle w:val="a7"/>
        <w:spacing w:before="0" w:beforeAutospacing="0" w:after="0" w:afterAutospacing="0" w:line="270" w:lineRule="atLeast"/>
        <w:jc w:val="both"/>
        <w:rPr>
          <w:rFonts w:ascii="Cambria" w:eastAsia="Cambria" w:hAnsi="Cambria"/>
          <w:color w:val="C00000"/>
          <w:shd w:val="clear" w:color="auto" w:fill="FFFFFF"/>
        </w:rPr>
      </w:pPr>
    </w:p>
    <w:tbl>
      <w:tblPr>
        <w:tblW w:w="9854" w:type="dxa"/>
        <w:tblInd w:w="-108" w:type="dxa"/>
        <w:tblLayout w:type="fixed"/>
        <w:tblLook w:val="04A0"/>
      </w:tblPr>
      <w:tblGrid>
        <w:gridCol w:w="3284"/>
        <w:gridCol w:w="3285"/>
        <w:gridCol w:w="3285"/>
      </w:tblGrid>
      <w:tr w:rsidR="00E736C5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6C5" w:rsidRDefault="00382954">
            <w:pPr>
              <w:spacing w:line="400" w:lineRule="exact"/>
              <w:jc w:val="center"/>
              <w:rPr>
                <w:rFonts w:ascii="Cambria" w:eastAsia="Cambria" w:hAnsi="Cambria"/>
                <w:b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hint="eastAsia"/>
                <w:b/>
                <w:color w:val="FFFFFF"/>
                <w:sz w:val="24"/>
                <w:szCs w:val="24"/>
              </w:rPr>
              <w:t>宏观金融分析与金融基础模块</w:t>
            </w:r>
          </w:p>
        </w:tc>
      </w:tr>
      <w:tr w:rsidR="00E736C5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6C5" w:rsidRDefault="00382954">
            <w:pPr>
              <w:spacing w:line="360" w:lineRule="exact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宏观经济政策与金融市场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宏观经济与宏观调控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人民币汇率与金融市场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国际金融体系的新趋势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国际国内私募环境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6C5" w:rsidRDefault="00382954">
            <w:pPr>
              <w:spacing w:line="360" w:lineRule="exact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金融基础课程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货币银行学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金融监管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国际金融学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金融衍生产品的发展趋势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6C5" w:rsidRDefault="00382954">
            <w:pPr>
              <w:spacing w:line="360" w:lineRule="exact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投资基金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对冲基金特征、动作及管理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国外基金的投资策略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基金产品的选择与投资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投资目标与投资政策的选择</w:t>
            </w:r>
          </w:p>
        </w:tc>
      </w:tr>
      <w:tr w:rsidR="00E736C5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6C5" w:rsidRDefault="00382954">
            <w:pPr>
              <w:spacing w:line="360" w:lineRule="exact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债券投资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企业债与可转债定价与发行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债券的估值、投资管理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收益曲线分析与利率风险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债券产品选择与组合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6C5" w:rsidRDefault="00382954">
            <w:pPr>
              <w:spacing w:line="360" w:lineRule="exact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期货与股指投资期货投资实务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金融衍生产品市场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股票指数期货投资策略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期权交易策略及操作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期权价格决定因素与定价模型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6C5" w:rsidRDefault="00382954">
            <w:pPr>
              <w:spacing w:line="360" w:lineRule="exact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股票市场与基金业发展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股票市场发展环境分析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股票市场投资策略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基金业的市场化道路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证券投资基金与创投基金</w:t>
            </w:r>
          </w:p>
        </w:tc>
      </w:tr>
      <w:tr w:rsidR="00E736C5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6C5" w:rsidRDefault="00382954">
            <w:pPr>
              <w:spacing w:line="400" w:lineRule="exact"/>
              <w:jc w:val="center"/>
              <w:rPr>
                <w:rFonts w:ascii="Cambria" w:eastAsia="Cambria" w:hAnsi="Cambria"/>
                <w:b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hint="eastAsia"/>
                <w:b/>
                <w:color w:val="FFFFFF"/>
                <w:sz w:val="24"/>
                <w:szCs w:val="24"/>
              </w:rPr>
              <w:t>私募基金（</w:t>
            </w:r>
            <w:r>
              <w:rPr>
                <w:rFonts w:ascii="Cambria" w:eastAsia="Cambria" w:hAnsi="Cambria" w:hint="eastAsia"/>
                <w:b/>
                <w:color w:val="FFFFFF"/>
                <w:sz w:val="24"/>
                <w:szCs w:val="24"/>
              </w:rPr>
              <w:t>PE</w:t>
            </w:r>
            <w:r>
              <w:rPr>
                <w:rFonts w:ascii="Cambria" w:eastAsia="Cambria" w:hAnsi="Cambria" w:hint="eastAsia"/>
                <w:b/>
                <w:color w:val="FFFFFF"/>
                <w:sz w:val="24"/>
                <w:szCs w:val="24"/>
              </w:rPr>
              <w:t>）基础分析</w:t>
            </w:r>
          </w:p>
        </w:tc>
      </w:tr>
      <w:tr w:rsidR="00E736C5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6C5" w:rsidRDefault="00382954">
            <w:pPr>
              <w:spacing w:line="360" w:lineRule="exact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资本市场私募股权基金法律与政策解析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国内国外相关法律法规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相关合同与协议的选择与安排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企业设立章程与相关约定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股权转让的法律安排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会计师事务所的选择与协调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知识产权与无形资产的评估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6C5" w:rsidRDefault="00382954">
            <w:pPr>
              <w:spacing w:line="360" w:lineRule="exact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私募股权基金的项目选择与投融资操作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投资者与融资模式的选择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标的公司寻觅及实地尽职调查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企业价值的评估与定价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企业融资对资本结构的影响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投资效益分析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股权融资形式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6C5" w:rsidRDefault="00382954">
            <w:pPr>
              <w:spacing w:line="360" w:lineRule="exact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私募股权投资基金（</w:t>
            </w:r>
            <w:r>
              <w:rPr>
                <w:rFonts w:ascii="微软雅黑" w:eastAsia="微软雅黑" w:hAnsi="微软雅黑" w:hint="eastAsia"/>
                <w:b/>
              </w:rPr>
              <w:t>PE</w:t>
            </w:r>
            <w:r>
              <w:rPr>
                <w:rFonts w:ascii="微软雅黑" w:eastAsia="微软雅黑" w:hAnsi="微软雅黑" w:hint="eastAsia"/>
                <w:b/>
              </w:rPr>
              <w:t>）的组织形式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私募股权投资基金的组织形式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私募股权基金公司治理与激励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私募基金公司的内部风险控制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投资基金项目并购重组策略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私募基金公司财务与税务管理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私募股权投资基金案例分析</w:t>
            </w:r>
          </w:p>
        </w:tc>
      </w:tr>
      <w:tr w:rsidR="00E736C5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6C5" w:rsidRDefault="00382954">
            <w:pPr>
              <w:spacing w:line="360" w:lineRule="exact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私募股权基金（</w:t>
            </w:r>
            <w:r>
              <w:rPr>
                <w:rFonts w:ascii="微软雅黑" w:eastAsia="微软雅黑" w:hAnsi="微软雅黑" w:hint="eastAsia"/>
                <w:b/>
              </w:rPr>
              <w:t>PE</w:t>
            </w:r>
            <w:r>
              <w:rPr>
                <w:rFonts w:ascii="微软雅黑" w:eastAsia="微软雅黑" w:hAnsi="微软雅黑" w:hint="eastAsia"/>
                <w:b/>
              </w:rPr>
              <w:t>）的融资活动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私募股权投资基金的募集程序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融资方法的成本及使用企业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影响融资决定的因素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融资的实务与流程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如何规避融资过程中的风险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6C5" w:rsidRDefault="00382954">
            <w:pPr>
              <w:spacing w:line="360" w:lineRule="exact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私募股权基金（</w:t>
            </w:r>
            <w:r>
              <w:rPr>
                <w:rFonts w:ascii="微软雅黑" w:eastAsia="微软雅黑" w:hAnsi="微软雅黑" w:hint="eastAsia"/>
                <w:b/>
              </w:rPr>
              <w:t>PE</w:t>
            </w:r>
            <w:r>
              <w:rPr>
                <w:rFonts w:ascii="微软雅黑" w:eastAsia="微软雅黑" w:hAnsi="微软雅黑" w:hint="eastAsia"/>
                <w:b/>
              </w:rPr>
              <w:t>）管理模式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私募股权基金的资源整合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企业产权调整和公司治理架构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私募融资后的经营管理调整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中介机构在融资中的作用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企业治理结构与期权激励制度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6C5" w:rsidRDefault="00382954">
            <w:pPr>
              <w:spacing w:line="360" w:lineRule="exact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私募股权基金（</w:t>
            </w:r>
            <w:r>
              <w:rPr>
                <w:rFonts w:ascii="微软雅黑" w:eastAsia="微软雅黑" w:hAnsi="微软雅黑" w:hint="eastAsia"/>
                <w:b/>
              </w:rPr>
              <w:t>PE</w:t>
            </w:r>
            <w:r>
              <w:rPr>
                <w:rFonts w:ascii="微软雅黑" w:eastAsia="微软雅黑" w:hAnsi="微软雅黑" w:hint="eastAsia"/>
                <w:b/>
              </w:rPr>
              <w:t>）投资模式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国际股权基金中国基金投资管理模式与案例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目标企业投资流程与管理模式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被投企业的成长辅导与再融资</w:t>
            </w:r>
          </w:p>
          <w:p w:rsidR="00E736C5" w:rsidRDefault="00382954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产业整合与被投企业做大做强</w:t>
            </w:r>
          </w:p>
        </w:tc>
      </w:tr>
      <w:tr w:rsidR="00E736C5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6C5" w:rsidRDefault="00382954">
            <w:pPr>
              <w:spacing w:line="400" w:lineRule="exact"/>
              <w:jc w:val="center"/>
              <w:rPr>
                <w:rFonts w:ascii="Cambria" w:eastAsia="Cambria" w:hAnsi="Cambria"/>
                <w:b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hint="eastAsia"/>
                <w:b/>
                <w:color w:val="FFFFFF"/>
                <w:sz w:val="24"/>
                <w:szCs w:val="24"/>
              </w:rPr>
              <w:t>资本运营与投融资战略模块</w:t>
            </w:r>
          </w:p>
        </w:tc>
      </w:tr>
      <w:tr w:rsidR="00E736C5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6C5" w:rsidRDefault="00382954">
            <w:pPr>
              <w:spacing w:line="400" w:lineRule="exact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企业资本运营实务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资本市场融资本质转变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资本市场与企业成长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资产证券化与融资创新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6C5" w:rsidRDefault="00382954">
            <w:pPr>
              <w:spacing w:line="400" w:lineRule="exact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投资分析与决策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投资银行与资产证券深度分析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债券产品选择与组合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投资风险管理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6C5" w:rsidRDefault="00382954">
            <w:pPr>
              <w:spacing w:line="400" w:lineRule="exact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国际融资渠道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全球创业板市场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国际投融资案例分析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※高利润的离岸贸易融资</w:t>
            </w:r>
          </w:p>
        </w:tc>
      </w:tr>
      <w:tr w:rsidR="00E736C5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6C5" w:rsidRDefault="00382954">
            <w:pPr>
              <w:spacing w:line="400" w:lineRule="exact"/>
              <w:jc w:val="center"/>
              <w:rPr>
                <w:rFonts w:ascii="Cambria" w:eastAsia="Cambria" w:hAnsi="Cambria"/>
                <w:b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hint="eastAsia"/>
                <w:b/>
                <w:color w:val="FFFFFF"/>
                <w:sz w:val="24"/>
                <w:szCs w:val="24"/>
              </w:rPr>
              <w:t>企业上市与多层次资本模块</w:t>
            </w:r>
          </w:p>
        </w:tc>
      </w:tr>
      <w:tr w:rsidR="00E736C5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6C5" w:rsidRDefault="00382954">
            <w:pPr>
              <w:spacing w:line="400" w:lineRule="exact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挂牌新三板与新三板投资</w:t>
            </w:r>
            <w:r>
              <w:rPr>
                <w:rFonts w:ascii="微软雅黑" w:eastAsia="微软雅黑" w:hAnsi="微软雅黑" w:hint="eastAsia"/>
                <w:b/>
              </w:rPr>
              <w:t xml:space="preserve">   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2017</w:t>
            </w:r>
            <w:r>
              <w:rPr>
                <w:rFonts w:ascii="微软雅黑" w:eastAsia="微软雅黑" w:hAnsi="微软雅黑" w:hint="eastAsia"/>
              </w:rPr>
              <w:t>年新三板趋势分析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新三板挂牌实物</w:t>
            </w:r>
            <w:r>
              <w:rPr>
                <w:rFonts w:ascii="微软雅黑" w:eastAsia="微软雅黑" w:hAnsi="微软雅黑" w:hint="eastAsia"/>
              </w:rPr>
              <w:t xml:space="preserve"> 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新三板如何做市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如何选择主办券商</w:t>
            </w:r>
            <w:r>
              <w:rPr>
                <w:rFonts w:ascii="微软雅黑" w:eastAsia="微软雅黑" w:hAnsi="微软雅黑" w:hint="eastAsia"/>
              </w:rPr>
              <w:t xml:space="preserve"> 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拟挂牌企业的市值管理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6C5" w:rsidRDefault="00382954">
            <w:pPr>
              <w:spacing w:line="400" w:lineRule="exact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投资新三板</w:t>
            </w:r>
            <w:r>
              <w:rPr>
                <w:rFonts w:ascii="微软雅黑" w:eastAsia="微软雅黑" w:hAnsi="微软雅黑" w:hint="eastAsia"/>
                <w:b/>
              </w:rPr>
              <w:t>VC/PE</w:t>
            </w:r>
            <w:r>
              <w:rPr>
                <w:rFonts w:ascii="微软雅黑" w:eastAsia="微软雅黑" w:hAnsi="微软雅黑" w:hint="eastAsia"/>
                <w:b/>
              </w:rPr>
              <w:t>分析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挂牌新三板企业的债券投融资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做市制度与新三板流动困境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新三板母基金</w:t>
            </w:r>
            <w:r>
              <w:rPr>
                <w:rFonts w:ascii="微软雅黑" w:eastAsia="微软雅黑" w:hAnsi="微软雅黑" w:hint="eastAsia"/>
              </w:rPr>
              <w:t>FOF</w:t>
            </w:r>
            <w:r>
              <w:rPr>
                <w:rFonts w:ascii="微软雅黑" w:eastAsia="微软雅黑" w:hAnsi="微软雅黑" w:hint="eastAsia"/>
              </w:rPr>
              <w:t>战略投资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政府产业引导基金新三板合作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新三板挂牌企业定向增发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新三板做市融资实操分析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6C5" w:rsidRDefault="00382954">
            <w:pPr>
              <w:spacing w:line="400" w:lineRule="exact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企业</w:t>
            </w:r>
            <w:r>
              <w:rPr>
                <w:rFonts w:ascii="微软雅黑" w:eastAsia="微软雅黑" w:hAnsi="微软雅黑" w:hint="eastAsia"/>
                <w:b/>
              </w:rPr>
              <w:t>A</w:t>
            </w:r>
            <w:r>
              <w:rPr>
                <w:rFonts w:ascii="微软雅黑" w:eastAsia="微软雅黑" w:hAnsi="微软雅黑" w:hint="eastAsia"/>
                <w:b/>
              </w:rPr>
              <w:t>股上市</w:t>
            </w:r>
            <w:r>
              <w:rPr>
                <w:rFonts w:ascii="微软雅黑" w:eastAsia="微软雅黑" w:hAnsi="微软雅黑" w:hint="eastAsia"/>
                <w:b/>
              </w:rPr>
              <w:t xml:space="preserve"> 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注册制背景下的上市规划与路径设计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主板上市条件与上市流程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中小板上市条件与上市流程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创业上市条件与上市流程、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新兴板上市条件与上市流程</w:t>
            </w:r>
          </w:p>
        </w:tc>
      </w:tr>
      <w:tr w:rsidR="00E736C5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6C5" w:rsidRDefault="00382954">
            <w:pPr>
              <w:spacing w:line="400" w:lineRule="exact"/>
              <w:jc w:val="center"/>
              <w:rPr>
                <w:rFonts w:ascii="Cambria" w:eastAsia="Cambria" w:hAnsi="Cambria"/>
                <w:b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hint="eastAsia"/>
                <w:b/>
                <w:color w:val="FFFFFF"/>
                <w:sz w:val="24"/>
                <w:szCs w:val="24"/>
              </w:rPr>
              <w:lastRenderedPageBreak/>
              <w:t>企业并购与并购基金</w:t>
            </w:r>
          </w:p>
        </w:tc>
      </w:tr>
      <w:tr w:rsidR="00E736C5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6C5" w:rsidRDefault="00382954">
            <w:pPr>
              <w:spacing w:line="400" w:lineRule="exact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企业估值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※现代公司估值详述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※相对估值方法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※公司财务预测与估值模型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※不同行业估值方法的选择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※估值方法的拓展应用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6C5" w:rsidRDefault="00382954">
            <w:pPr>
              <w:spacing w:line="400" w:lineRule="exact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并购重组的策略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企业并购重组方案设计及创新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公司重组与资产置换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并购重组的反收购策略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中国企业的海外并购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国际并购与整合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6C5" w:rsidRDefault="00382954">
            <w:pPr>
              <w:spacing w:line="400" w:lineRule="exact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并购重组关注的问题及解决方案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公司并购重组交易结构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公司并购重组支付方式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公司并购融资手段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公司并购重组估值方法和定价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公司并购目标的选择</w:t>
            </w:r>
          </w:p>
        </w:tc>
      </w:tr>
      <w:tr w:rsidR="00E736C5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6C5" w:rsidRDefault="00382954">
            <w:pPr>
              <w:spacing w:line="400" w:lineRule="exact"/>
              <w:jc w:val="center"/>
              <w:rPr>
                <w:rFonts w:ascii="Cambria" w:eastAsia="Cambria" w:hAnsi="Cambria"/>
                <w:b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hint="eastAsia"/>
                <w:b/>
                <w:color w:val="FFFFFF"/>
                <w:sz w:val="24"/>
                <w:szCs w:val="24"/>
              </w:rPr>
              <w:t>公司治理模式设计</w:t>
            </w:r>
          </w:p>
        </w:tc>
      </w:tr>
      <w:tr w:rsidR="00E736C5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6C5" w:rsidRDefault="00382954">
            <w:pPr>
              <w:spacing w:line="400" w:lineRule="exact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公司治理结构与公司管控设计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股权比例设计与股权权益设计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股权层面控制权设计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股东与经营管理层关系结构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多种股东权利受损害案例分析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股东权利受损害后如何进行追偿与保护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6C5" w:rsidRDefault="00382954">
            <w:pPr>
              <w:spacing w:line="400" w:lineRule="exact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公司经营层级与投后治理设计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经营管理层的选聘设计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公司投后管理经营系统设计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投后管控与对赌有效性实施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投后资本安全性分析与设计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投后发起经营团队与资本关系设计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6C5" w:rsidRDefault="00382954">
            <w:pPr>
              <w:spacing w:line="400" w:lineRule="exact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高管股权激励方案设计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股权激励的前提与基础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股权激励的价值、风险与智慧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多种股权激励形式分析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基数定量、岗位定量、时间定量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股权激励时效性和持续性设计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分红周期以及时间节点的选择</w:t>
            </w:r>
          </w:p>
        </w:tc>
      </w:tr>
      <w:tr w:rsidR="00E736C5">
        <w:trPr>
          <w:trHeight w:val="324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6C5" w:rsidRDefault="00382954">
            <w:pPr>
              <w:spacing w:line="400" w:lineRule="exact"/>
              <w:jc w:val="center"/>
              <w:rPr>
                <w:rFonts w:ascii="Cambria" w:eastAsia="Cambria" w:hAnsi="Cambria"/>
                <w:b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hint="eastAsia"/>
                <w:b/>
                <w:color w:val="FFFFFF"/>
                <w:sz w:val="24"/>
                <w:szCs w:val="24"/>
              </w:rPr>
              <w:t>互联网金融与新资本模式</w:t>
            </w:r>
          </w:p>
        </w:tc>
      </w:tr>
      <w:tr w:rsidR="00E736C5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6C5" w:rsidRDefault="00382954">
            <w:pPr>
              <w:spacing w:line="400" w:lineRule="exact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互联网金融模式分析</w:t>
            </w:r>
            <w:r>
              <w:rPr>
                <w:rFonts w:ascii="微软雅黑" w:eastAsia="微软雅黑" w:hAnsi="微软雅黑" w:hint="eastAsia"/>
                <w:b/>
              </w:rPr>
              <w:t xml:space="preserve">    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互联网金融概述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互联网支付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P2P</w:t>
            </w:r>
            <w:r>
              <w:rPr>
                <w:rFonts w:ascii="微软雅黑" w:eastAsia="微软雅黑" w:hAnsi="微软雅黑" w:hint="eastAsia"/>
              </w:rPr>
              <w:t>网络借贷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股权众筹融资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互联网消费金融与互联网理财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互联网银行与互联网保险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6C5" w:rsidRDefault="00382954">
            <w:pPr>
              <w:spacing w:line="400" w:lineRule="exact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新资本模式创新设计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设计产融结合的方案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可持续性的投资模式设计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基金创新与投资机制的设计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类金融模式的具体分析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企业成长的价值导航分析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资本顶层设计与价值导航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6C5" w:rsidRDefault="00382954">
            <w:pPr>
              <w:spacing w:line="400" w:lineRule="exact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中国梦</w:t>
            </w:r>
            <w:r>
              <w:rPr>
                <w:rFonts w:ascii="微软雅黑" w:eastAsia="微软雅黑" w:hAnsi="微软雅黑" w:hint="eastAsia"/>
                <w:b/>
              </w:rPr>
              <w:t>-</w:t>
            </w:r>
            <w:r>
              <w:rPr>
                <w:rFonts w:ascii="微软雅黑" w:eastAsia="微软雅黑" w:hAnsi="微软雅黑" w:hint="eastAsia"/>
                <w:b/>
              </w:rPr>
              <w:t>一带一路</w:t>
            </w:r>
            <w:r>
              <w:rPr>
                <w:rFonts w:ascii="微软雅黑" w:eastAsia="微软雅黑" w:hAnsi="微软雅黑" w:hint="eastAsia"/>
                <w:b/>
              </w:rPr>
              <w:t>-</w:t>
            </w:r>
            <w:r>
              <w:rPr>
                <w:rFonts w:ascii="微软雅黑" w:eastAsia="微软雅黑" w:hAnsi="微软雅黑" w:hint="eastAsia"/>
                <w:b/>
              </w:rPr>
              <w:t>游学课堂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标杆企业及学员企业项目实地参访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德国工业</w:t>
            </w:r>
            <w:r>
              <w:rPr>
                <w:rFonts w:ascii="微软雅黑" w:eastAsia="微软雅黑" w:hAnsi="微软雅黑" w:hint="eastAsia"/>
              </w:rPr>
              <w:t>4.0</w:t>
            </w:r>
            <w:r>
              <w:rPr>
                <w:rFonts w:ascii="微软雅黑" w:eastAsia="微软雅黑" w:hAnsi="微软雅黑" w:hint="eastAsia"/>
              </w:rPr>
              <w:t>项目考察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※</w:t>
            </w:r>
            <w:r>
              <w:rPr>
                <w:rFonts w:ascii="微软雅黑" w:eastAsia="微软雅黑" w:hAnsi="微软雅黑" w:hint="eastAsia"/>
              </w:rPr>
              <w:t>美国“纽约</w:t>
            </w:r>
            <w:r>
              <w:rPr>
                <w:rFonts w:ascii="微软雅黑" w:eastAsia="微软雅黑" w:hAnsi="微软雅黑" w:hint="eastAsia"/>
              </w:rPr>
              <w:t>-</w:t>
            </w:r>
            <w:r>
              <w:rPr>
                <w:rFonts w:ascii="微软雅黑" w:eastAsia="微软雅黑" w:hAnsi="微软雅黑" w:hint="eastAsia"/>
              </w:rPr>
              <w:t>华尔街”项目考察</w:t>
            </w:r>
          </w:p>
          <w:p w:rsidR="00E736C5" w:rsidRDefault="00382954">
            <w:pPr>
              <w:spacing w:line="4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政府项目考察</w:t>
            </w:r>
          </w:p>
        </w:tc>
      </w:tr>
    </w:tbl>
    <w:p w:rsidR="00E736C5" w:rsidRDefault="00382954">
      <w:pPr>
        <w:spacing w:line="400" w:lineRule="exact"/>
        <w:ind w:firstLine="960"/>
        <w:rPr>
          <w:rFonts w:ascii="Cambria" w:eastAsia="Cambria" w:hAnsi="Cambria"/>
          <w:color w:val="C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-46990</wp:posOffset>
            </wp:positionH>
            <wp:positionV relativeFrom="paragraph">
              <wp:posOffset>31115</wp:posOffset>
            </wp:positionV>
            <wp:extent cx="5503545" cy="284480"/>
            <wp:effectExtent l="0" t="0" r="0" b="0"/>
            <wp:wrapNone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3545" cy="28448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eastAsia="Cambria" w:hAnsi="Cambria" w:hint="eastAsia"/>
          <w:color w:val="C00000"/>
          <w:sz w:val="24"/>
          <w:szCs w:val="24"/>
        </w:rPr>
        <w:t>【学习对象】</w:t>
      </w:r>
    </w:p>
    <w:p w:rsidR="00E736C5" w:rsidRDefault="00382954">
      <w:pPr>
        <w:spacing w:line="480" w:lineRule="exact"/>
        <w:ind w:firstLine="1800"/>
        <w:rPr>
          <w:sz w:val="24"/>
          <w:szCs w:val="24"/>
        </w:rPr>
      </w:pPr>
      <w:r>
        <w:rPr>
          <w:sz w:val="24"/>
          <w:szCs w:val="24"/>
        </w:rPr>
        <w:t>致力于产业投资的实业企业家</w:t>
      </w:r>
    </w:p>
    <w:p w:rsidR="00E736C5" w:rsidRDefault="00382954">
      <w:pPr>
        <w:spacing w:line="480" w:lineRule="exact"/>
        <w:ind w:firstLine="1800"/>
        <w:rPr>
          <w:sz w:val="24"/>
          <w:szCs w:val="24"/>
        </w:rPr>
      </w:pPr>
      <w:r>
        <w:rPr>
          <w:sz w:val="24"/>
          <w:szCs w:val="24"/>
        </w:rPr>
        <w:t>拟融资或拟上市企业董事长、总经理、企业投融资项目负责人</w:t>
      </w:r>
    </w:p>
    <w:p w:rsidR="00E736C5" w:rsidRDefault="00382954">
      <w:pPr>
        <w:spacing w:line="480" w:lineRule="exact"/>
        <w:ind w:firstLine="1800"/>
        <w:rPr>
          <w:sz w:val="24"/>
          <w:szCs w:val="24"/>
        </w:rPr>
      </w:pPr>
      <w:r>
        <w:rPr>
          <w:sz w:val="24"/>
          <w:szCs w:val="24"/>
        </w:rPr>
        <w:t>私募股权投资基金公司的项目负责人</w:t>
      </w:r>
    </w:p>
    <w:p w:rsidR="00E736C5" w:rsidRDefault="00382954">
      <w:pPr>
        <w:spacing w:line="480" w:lineRule="exact"/>
        <w:ind w:firstLine="1800"/>
        <w:rPr>
          <w:sz w:val="24"/>
          <w:szCs w:val="24"/>
        </w:rPr>
      </w:pPr>
      <w:r>
        <w:rPr>
          <w:sz w:val="24"/>
          <w:szCs w:val="24"/>
        </w:rPr>
        <w:t>金融机构、金融服务机构负责人</w:t>
      </w:r>
    </w:p>
    <w:p w:rsidR="00E736C5" w:rsidRDefault="00382954">
      <w:pPr>
        <w:spacing w:line="480" w:lineRule="exact"/>
        <w:ind w:firstLine="1800"/>
        <w:rPr>
          <w:sz w:val="24"/>
          <w:szCs w:val="24"/>
        </w:rPr>
      </w:pPr>
      <w:r>
        <w:rPr>
          <w:sz w:val="24"/>
          <w:szCs w:val="24"/>
        </w:rPr>
        <w:t>主管产业投资基金的相关政府部门负责人</w:t>
      </w:r>
    </w:p>
    <w:p w:rsidR="00E736C5" w:rsidRDefault="00382954">
      <w:pPr>
        <w:spacing w:line="400" w:lineRule="exact"/>
        <w:ind w:firstLine="840"/>
        <w:rPr>
          <w:rFonts w:ascii="Cambria" w:eastAsia="Cambria" w:hAnsi="Cambria"/>
          <w:color w:val="C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-47625</wp:posOffset>
            </wp:positionH>
            <wp:positionV relativeFrom="paragraph">
              <wp:posOffset>31115</wp:posOffset>
            </wp:positionV>
            <wp:extent cx="5503545" cy="284480"/>
            <wp:effectExtent l="0" t="0" r="0" b="0"/>
            <wp:wrapNone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3545" cy="28448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eastAsia="Cambria" w:hAnsi="Cambria" w:hint="eastAsia"/>
          <w:color w:val="C00000"/>
          <w:sz w:val="24"/>
          <w:szCs w:val="24"/>
        </w:rPr>
        <w:t>【学制学费】</w:t>
      </w:r>
      <w:r>
        <w:rPr>
          <w:rFonts w:ascii="Cambria" w:eastAsia="Cambria" w:hAnsi="Cambria" w:hint="eastAsia"/>
          <w:color w:val="C00000"/>
          <w:sz w:val="24"/>
          <w:szCs w:val="24"/>
        </w:rPr>
        <w:t xml:space="preserve"> </w:t>
      </w:r>
    </w:p>
    <w:p w:rsidR="00E736C5" w:rsidRDefault="00382954">
      <w:pPr>
        <w:spacing w:line="400" w:lineRule="exact"/>
        <w:ind w:firstLine="84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7099935</wp:posOffset>
            </wp:positionV>
            <wp:extent cx="5504815" cy="285750"/>
            <wp:effectExtent l="0" t="0" r="0" b="0"/>
            <wp:wrapNone/>
            <wp:docPr id="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4815" cy="2857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7099935</wp:posOffset>
            </wp:positionV>
            <wp:extent cx="5504815" cy="285750"/>
            <wp:effectExtent l="0" t="0" r="0" b="0"/>
            <wp:wrapNone/>
            <wp:docPr id="4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4815" cy="2857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学习时间：</w:t>
      </w:r>
      <w:r>
        <w:rPr>
          <w:sz w:val="24"/>
          <w:szCs w:val="24"/>
        </w:rPr>
        <w:t>学制一年</w:t>
      </w:r>
      <w:r>
        <w:rPr>
          <w:rFonts w:eastAsia="宋体" w:hint="eastAsia"/>
          <w:sz w:val="24"/>
          <w:szCs w:val="24"/>
        </w:rPr>
        <w:t>半</w:t>
      </w:r>
      <w:r>
        <w:rPr>
          <w:sz w:val="24"/>
          <w:szCs w:val="24"/>
        </w:rPr>
        <w:t>，每月授课一次，每次</w:t>
      </w:r>
      <w:r>
        <w:rPr>
          <w:sz w:val="24"/>
          <w:szCs w:val="24"/>
        </w:rPr>
        <w:t>2-3</w:t>
      </w:r>
      <w:r>
        <w:rPr>
          <w:sz w:val="24"/>
          <w:szCs w:val="24"/>
        </w:rPr>
        <w:t>天，共计</w:t>
      </w:r>
      <w:r>
        <w:rPr>
          <w:sz w:val="24"/>
          <w:szCs w:val="24"/>
        </w:rPr>
        <w:t>16</w:t>
      </w:r>
      <w:r>
        <w:rPr>
          <w:sz w:val="24"/>
          <w:szCs w:val="24"/>
        </w:rPr>
        <w:t>次。</w:t>
      </w:r>
    </w:p>
    <w:p w:rsidR="00E736C5" w:rsidRDefault="00382954">
      <w:pPr>
        <w:spacing w:line="400" w:lineRule="exact"/>
        <w:ind w:firstLine="840"/>
        <w:rPr>
          <w:sz w:val="24"/>
          <w:szCs w:val="24"/>
        </w:rPr>
      </w:pPr>
      <w:r>
        <w:rPr>
          <w:b/>
          <w:sz w:val="24"/>
          <w:szCs w:val="24"/>
        </w:rPr>
        <w:t>学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费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：</w:t>
      </w:r>
      <w:r>
        <w:rPr>
          <w:sz w:val="24"/>
          <w:szCs w:val="24"/>
        </w:rPr>
        <w:t>9.9</w:t>
      </w:r>
      <w:r>
        <w:rPr>
          <w:sz w:val="24"/>
          <w:szCs w:val="24"/>
        </w:rPr>
        <w:t>万元</w:t>
      </w:r>
      <w:r>
        <w:rPr>
          <w:sz w:val="24"/>
          <w:szCs w:val="24"/>
        </w:rPr>
        <w:t>/</w:t>
      </w:r>
      <w:r>
        <w:rPr>
          <w:sz w:val="24"/>
          <w:szCs w:val="24"/>
        </w:rPr>
        <w:t>人（含</w:t>
      </w:r>
      <w:r>
        <w:rPr>
          <w:sz w:val="24"/>
          <w:szCs w:val="24"/>
        </w:rPr>
        <w:t>1.5</w:t>
      </w:r>
      <w:r>
        <w:rPr>
          <w:sz w:val="24"/>
          <w:szCs w:val="24"/>
        </w:rPr>
        <w:t>年教学、教材资料，不含学习及游学产生食宿交通费用）</w:t>
      </w:r>
    </w:p>
    <w:p w:rsidR="00E736C5" w:rsidRDefault="00E736C5">
      <w:pPr>
        <w:spacing w:line="400" w:lineRule="exact"/>
        <w:ind w:firstLine="840"/>
        <w:rPr>
          <w:sz w:val="24"/>
          <w:szCs w:val="24"/>
        </w:rPr>
      </w:pPr>
    </w:p>
    <w:p w:rsidR="00E736C5" w:rsidRDefault="00E736C5">
      <w:pPr>
        <w:spacing w:line="400" w:lineRule="exact"/>
        <w:ind w:firstLine="840"/>
        <w:rPr>
          <w:sz w:val="24"/>
          <w:szCs w:val="24"/>
        </w:rPr>
      </w:pPr>
    </w:p>
    <w:p w:rsidR="00E736C5" w:rsidRDefault="00E736C5">
      <w:pPr>
        <w:spacing w:line="400" w:lineRule="exact"/>
        <w:ind w:firstLine="840"/>
        <w:rPr>
          <w:sz w:val="24"/>
          <w:szCs w:val="24"/>
        </w:rPr>
      </w:pPr>
    </w:p>
    <w:p w:rsidR="00E736C5" w:rsidRDefault="00E736C5">
      <w:pPr>
        <w:spacing w:line="400" w:lineRule="exact"/>
        <w:ind w:firstLine="840"/>
        <w:rPr>
          <w:sz w:val="24"/>
          <w:szCs w:val="24"/>
        </w:rPr>
      </w:pPr>
    </w:p>
    <w:p w:rsidR="00E736C5" w:rsidRDefault="00E736C5">
      <w:pPr>
        <w:spacing w:line="400" w:lineRule="exact"/>
        <w:ind w:firstLine="840"/>
        <w:rPr>
          <w:sz w:val="24"/>
          <w:szCs w:val="24"/>
        </w:rPr>
      </w:pPr>
      <w:bookmarkStart w:id="0" w:name="_GoBack"/>
      <w:bookmarkEnd w:id="0"/>
    </w:p>
    <w:p w:rsidR="00E736C5" w:rsidRDefault="00382954">
      <w:pPr>
        <w:spacing w:line="400" w:lineRule="exact"/>
        <w:rPr>
          <w:rFonts w:ascii="微软雅黑" w:eastAsia="微软雅黑" w:hAnsi="微软雅黑"/>
        </w:rPr>
      </w:pPr>
      <w:r>
        <w:rPr>
          <w:noProof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-97790</wp:posOffset>
            </wp:positionH>
            <wp:positionV relativeFrom="paragraph">
              <wp:posOffset>-138430</wp:posOffset>
            </wp:positionV>
            <wp:extent cx="2360295" cy="767715"/>
            <wp:effectExtent l="0" t="0" r="0" b="0"/>
            <wp:wrapTight wrapText="bothSides">
              <wp:wrapPolygon edited="0">
                <wp:start x="-1046" y="429"/>
                <wp:lineTo x="-1046" y="21439"/>
                <wp:lineTo x="22646" y="21439"/>
                <wp:lineTo x="22646" y="429"/>
                <wp:lineTo x="-1046" y="429"/>
              </wp:wrapPolygon>
            </wp:wrapTight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0295" cy="76771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:rsidR="00E736C5" w:rsidRDefault="00E736C5">
      <w:pPr>
        <w:rPr>
          <w:rFonts w:ascii="微软雅黑" w:eastAsia="微软雅黑" w:hAnsi="微软雅黑"/>
        </w:rPr>
      </w:pPr>
    </w:p>
    <w:p w:rsidR="00E736C5" w:rsidRDefault="00E736C5">
      <w:pPr>
        <w:jc w:val="center"/>
        <w:rPr>
          <w:rFonts w:ascii="Cambria" w:eastAsia="Cambria" w:hAnsi="Cambria" w:cs="微软雅黑"/>
          <w:b/>
          <w:color w:val="990000"/>
          <w:sz w:val="36"/>
          <w:szCs w:val="36"/>
        </w:rPr>
      </w:pPr>
    </w:p>
    <w:p w:rsidR="00E736C5" w:rsidRDefault="00382954">
      <w:pPr>
        <w:jc w:val="center"/>
        <w:rPr>
          <w:rFonts w:ascii="Cambria" w:eastAsia="Cambria" w:hAnsi="Cambria" w:cs="微软雅黑"/>
          <w:b/>
          <w:color w:val="990000"/>
          <w:sz w:val="36"/>
          <w:szCs w:val="36"/>
        </w:rPr>
      </w:pPr>
      <w:r>
        <w:rPr>
          <w:rFonts w:ascii="Cambria" w:eastAsia="Cambria" w:hAnsi="Cambria" w:cs="微软雅黑" w:hint="eastAsia"/>
          <w:b/>
          <w:color w:val="990000"/>
          <w:sz w:val="36"/>
          <w:szCs w:val="36"/>
        </w:rPr>
        <w:t>北京大学私募股权投资</w:t>
      </w:r>
      <w:r>
        <w:rPr>
          <w:rFonts w:ascii="Cambria" w:eastAsia="Cambria" w:hAnsi="Cambria" w:cs="微软雅黑" w:hint="eastAsia"/>
          <w:b/>
          <w:color w:val="990000"/>
          <w:sz w:val="36"/>
          <w:szCs w:val="36"/>
        </w:rPr>
        <w:t>(PE)</w:t>
      </w:r>
      <w:r>
        <w:rPr>
          <w:rFonts w:ascii="Cambria" w:eastAsia="Cambria" w:hAnsi="Cambria" w:cs="微软雅黑" w:hint="eastAsia"/>
          <w:b/>
          <w:color w:val="990000"/>
          <w:sz w:val="36"/>
          <w:szCs w:val="36"/>
        </w:rPr>
        <w:t>研修班</w:t>
      </w:r>
    </w:p>
    <w:p w:rsidR="00E736C5" w:rsidRDefault="00382954">
      <w:pPr>
        <w:spacing w:line="276" w:lineRule="auto"/>
        <w:jc w:val="center"/>
        <w:rPr>
          <w:color w:val="990000"/>
          <w:sz w:val="32"/>
          <w:szCs w:val="32"/>
        </w:rPr>
      </w:pPr>
      <w:r>
        <w:rPr>
          <w:color w:val="990000"/>
          <w:sz w:val="32"/>
          <w:szCs w:val="32"/>
        </w:rPr>
        <w:t>报名申请表</w:t>
      </w:r>
    </w:p>
    <w:tbl>
      <w:tblPr>
        <w:tblW w:w="9358" w:type="dxa"/>
        <w:jc w:val="center"/>
        <w:tblLayout w:type="fixed"/>
        <w:tblLook w:val="04A0"/>
      </w:tblPr>
      <w:tblGrid>
        <w:gridCol w:w="1870"/>
        <w:gridCol w:w="393"/>
        <w:gridCol w:w="394"/>
        <w:gridCol w:w="394"/>
        <w:gridCol w:w="31"/>
        <w:gridCol w:w="362"/>
        <w:gridCol w:w="410"/>
        <w:gridCol w:w="80"/>
        <w:gridCol w:w="315"/>
        <w:gridCol w:w="206"/>
        <w:gridCol w:w="175"/>
        <w:gridCol w:w="15"/>
        <w:gridCol w:w="425"/>
        <w:gridCol w:w="418"/>
        <w:gridCol w:w="156"/>
        <w:gridCol w:w="253"/>
        <w:gridCol w:w="273"/>
        <w:gridCol w:w="121"/>
        <w:gridCol w:w="394"/>
        <w:gridCol w:w="316"/>
        <w:gridCol w:w="79"/>
        <w:gridCol w:w="365"/>
        <w:gridCol w:w="28"/>
        <w:gridCol w:w="394"/>
        <w:gridCol w:w="394"/>
        <w:gridCol w:w="394"/>
        <w:gridCol w:w="703"/>
      </w:tblGrid>
      <w:tr w:rsidR="00E736C5">
        <w:trPr>
          <w:cantSplit/>
          <w:trHeight w:val="561"/>
          <w:jc w:val="center"/>
        </w:trPr>
        <w:tc>
          <w:tcPr>
            <w:tcW w:w="187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3829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姓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名</w:t>
            </w:r>
          </w:p>
        </w:tc>
        <w:tc>
          <w:tcPr>
            <w:tcW w:w="2064" w:type="dxa"/>
            <w:gridSpan w:val="7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E736C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96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3829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性别</w:t>
            </w:r>
          </w:p>
        </w:tc>
        <w:tc>
          <w:tcPr>
            <w:tcW w:w="858" w:type="dxa"/>
            <w:gridSpan w:val="3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E736C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2" w:type="dxa"/>
            <w:gridSpan w:val="3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3829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年龄</w:t>
            </w:r>
          </w:p>
        </w:tc>
        <w:tc>
          <w:tcPr>
            <w:tcW w:w="1275" w:type="dxa"/>
            <w:gridSpan w:val="5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E736C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3829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贴照片</w:t>
            </w:r>
          </w:p>
        </w:tc>
      </w:tr>
      <w:tr w:rsidR="00E736C5">
        <w:trPr>
          <w:cantSplit/>
          <w:trHeight w:val="561"/>
          <w:jc w:val="center"/>
        </w:trPr>
        <w:tc>
          <w:tcPr>
            <w:tcW w:w="187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3829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工作单位</w:t>
            </w:r>
          </w:p>
        </w:tc>
        <w:tc>
          <w:tcPr>
            <w:tcW w:w="361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E736C5">
            <w:pPr>
              <w:spacing w:line="276" w:lineRule="auto"/>
              <w:rPr>
                <w:b/>
              </w:rPr>
            </w:pPr>
          </w:p>
        </w:tc>
        <w:tc>
          <w:tcPr>
            <w:tcW w:w="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3829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职位</w:t>
            </w: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E736C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E736C5"/>
        </w:tc>
      </w:tr>
      <w:tr w:rsidR="00E736C5">
        <w:trPr>
          <w:cantSplit/>
          <w:trHeight w:val="561"/>
          <w:jc w:val="center"/>
        </w:trPr>
        <w:tc>
          <w:tcPr>
            <w:tcW w:w="187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3829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单位地址</w:t>
            </w:r>
          </w:p>
        </w:tc>
        <w:tc>
          <w:tcPr>
            <w:tcW w:w="361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E736C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3829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邮编</w:t>
            </w: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E736C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E736C5"/>
        </w:tc>
      </w:tr>
      <w:tr w:rsidR="00E736C5">
        <w:trPr>
          <w:cantSplit/>
          <w:trHeight w:val="561"/>
          <w:jc w:val="center"/>
        </w:trPr>
        <w:tc>
          <w:tcPr>
            <w:tcW w:w="1870" w:type="dxa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3829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固定电话</w:t>
            </w:r>
          </w:p>
        </w:tc>
        <w:tc>
          <w:tcPr>
            <w:tcW w:w="25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E736C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3829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传真</w:t>
            </w:r>
          </w:p>
        </w:tc>
        <w:tc>
          <w:tcPr>
            <w:tcW w:w="19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E736C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E736C5"/>
        </w:tc>
      </w:tr>
      <w:tr w:rsidR="00E736C5">
        <w:trPr>
          <w:trHeight w:val="455"/>
          <w:jc w:val="center"/>
        </w:trPr>
        <w:tc>
          <w:tcPr>
            <w:tcW w:w="187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3829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手　　机</w:t>
            </w:r>
          </w:p>
        </w:tc>
        <w:tc>
          <w:tcPr>
            <w:tcW w:w="258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E736C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3829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870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E736C5">
            <w:pPr>
              <w:spacing w:line="276" w:lineRule="auto"/>
              <w:jc w:val="center"/>
              <w:rPr>
                <w:b/>
              </w:rPr>
            </w:pPr>
          </w:p>
        </w:tc>
      </w:tr>
      <w:tr w:rsidR="00E736C5">
        <w:trPr>
          <w:cantSplit/>
          <w:trHeight w:val="484"/>
          <w:jc w:val="center"/>
        </w:trPr>
        <w:tc>
          <w:tcPr>
            <w:tcW w:w="187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3829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身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份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证</w:t>
            </w:r>
          </w:p>
          <w:p w:rsidR="00E736C5" w:rsidRDefault="003829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号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码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E736C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E736C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E736C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E736C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E736C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E736C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E736C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E736C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E736C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E736C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E736C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E736C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E736C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E736C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E736C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E736C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E736C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E736C5">
            <w:pPr>
              <w:spacing w:line="276" w:lineRule="auto"/>
              <w:jc w:val="center"/>
              <w:rPr>
                <w:b/>
              </w:rPr>
            </w:pPr>
          </w:p>
        </w:tc>
      </w:tr>
      <w:tr w:rsidR="00E736C5">
        <w:trPr>
          <w:cantSplit/>
          <w:trHeight w:val="578"/>
          <w:jc w:val="center"/>
        </w:trPr>
        <w:tc>
          <w:tcPr>
            <w:tcW w:w="1870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3829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教育背景</w:t>
            </w:r>
          </w:p>
        </w:tc>
        <w:tc>
          <w:tcPr>
            <w:tcW w:w="1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3829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毕业院校</w:t>
            </w:r>
          </w:p>
        </w:tc>
        <w:tc>
          <w:tcPr>
            <w:tcW w:w="25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E736C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3829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学历与学位</w:t>
            </w:r>
          </w:p>
        </w:tc>
        <w:tc>
          <w:tcPr>
            <w:tcW w:w="2357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E736C5">
            <w:pPr>
              <w:spacing w:line="276" w:lineRule="auto"/>
              <w:jc w:val="center"/>
              <w:rPr>
                <w:b/>
              </w:rPr>
            </w:pPr>
          </w:p>
        </w:tc>
      </w:tr>
      <w:tr w:rsidR="00E736C5">
        <w:trPr>
          <w:cantSplit/>
          <w:trHeight w:val="687"/>
          <w:jc w:val="center"/>
        </w:trPr>
        <w:tc>
          <w:tcPr>
            <w:tcW w:w="1870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E736C5"/>
        </w:tc>
        <w:tc>
          <w:tcPr>
            <w:tcW w:w="1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3829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毕业时间</w:t>
            </w:r>
          </w:p>
        </w:tc>
        <w:tc>
          <w:tcPr>
            <w:tcW w:w="25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E736C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3829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专业</w:t>
            </w:r>
          </w:p>
        </w:tc>
        <w:tc>
          <w:tcPr>
            <w:tcW w:w="2357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E736C5">
            <w:pPr>
              <w:spacing w:line="276" w:lineRule="auto"/>
              <w:jc w:val="center"/>
              <w:rPr>
                <w:b/>
              </w:rPr>
            </w:pPr>
          </w:p>
        </w:tc>
      </w:tr>
      <w:tr w:rsidR="00E736C5">
        <w:trPr>
          <w:cantSplit/>
          <w:trHeight w:val="1576"/>
          <w:jc w:val="center"/>
        </w:trPr>
        <w:tc>
          <w:tcPr>
            <w:tcW w:w="187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3829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工作简历</w:t>
            </w:r>
          </w:p>
        </w:tc>
        <w:tc>
          <w:tcPr>
            <w:tcW w:w="7488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E736C5">
            <w:pPr>
              <w:spacing w:line="276" w:lineRule="auto"/>
              <w:rPr>
                <w:b/>
              </w:rPr>
            </w:pPr>
          </w:p>
        </w:tc>
      </w:tr>
      <w:tr w:rsidR="00E736C5">
        <w:trPr>
          <w:cantSplit/>
          <w:trHeight w:val="454"/>
          <w:jc w:val="center"/>
        </w:trPr>
        <w:tc>
          <w:tcPr>
            <w:tcW w:w="1870" w:type="dxa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382954">
            <w:pPr>
              <w:spacing w:line="276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是否预定房间</w:t>
            </w:r>
          </w:p>
        </w:tc>
        <w:tc>
          <w:tcPr>
            <w:tcW w:w="7488" w:type="dxa"/>
            <w:gridSpan w:val="2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382954">
            <w:pPr>
              <w:widowControl/>
              <w:spacing w:line="276" w:lineRule="auto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 xml:space="preserve">□需要　</w:t>
            </w:r>
            <w:r>
              <w:rPr>
                <w:rFonts w:ascii="宋体" w:hAnsi="宋体" w:hint="eastAsia"/>
                <w:b/>
              </w:rPr>
              <w:t xml:space="preserve">           </w:t>
            </w:r>
            <w:r>
              <w:rPr>
                <w:rFonts w:ascii="宋体" w:hAnsi="宋体" w:hint="eastAsia"/>
                <w:b/>
              </w:rPr>
              <w:t>□不需要</w:t>
            </w:r>
          </w:p>
        </w:tc>
      </w:tr>
      <w:tr w:rsidR="00E736C5">
        <w:trPr>
          <w:cantSplit/>
          <w:trHeight w:val="2100"/>
          <w:jc w:val="center"/>
        </w:trPr>
        <w:tc>
          <w:tcPr>
            <w:tcW w:w="9358" w:type="dxa"/>
            <w:gridSpan w:val="2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382954">
            <w:pPr>
              <w:spacing w:line="276" w:lineRule="auto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您的建议与要求：</w:t>
            </w:r>
          </w:p>
          <w:p w:rsidR="00E736C5" w:rsidRDefault="00E736C5">
            <w:pPr>
              <w:spacing w:line="276" w:lineRule="auto"/>
              <w:jc w:val="left"/>
              <w:rPr>
                <w:rFonts w:ascii="宋体" w:hAnsi="宋体"/>
                <w:b/>
              </w:rPr>
            </w:pPr>
          </w:p>
          <w:p w:rsidR="00E736C5" w:rsidRDefault="00E736C5">
            <w:pPr>
              <w:spacing w:line="276" w:lineRule="auto"/>
              <w:jc w:val="left"/>
              <w:rPr>
                <w:rFonts w:ascii="宋体" w:hAnsi="宋体"/>
                <w:b/>
              </w:rPr>
            </w:pPr>
          </w:p>
          <w:p w:rsidR="00E736C5" w:rsidRDefault="00E736C5">
            <w:pPr>
              <w:spacing w:line="276" w:lineRule="auto"/>
              <w:rPr>
                <w:b/>
              </w:rPr>
            </w:pPr>
          </w:p>
          <w:p w:rsidR="00E736C5" w:rsidRDefault="00382954">
            <w:pPr>
              <w:spacing w:line="276" w:lineRule="auto"/>
              <w:rPr>
                <w:rFonts w:ascii="宋体" w:hAnsi="宋体"/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</w:t>
            </w:r>
            <w:r>
              <w:rPr>
                <w:b/>
              </w:rPr>
              <w:t>申请人：</w:t>
            </w:r>
            <w:r>
              <w:rPr>
                <w:b/>
              </w:rPr>
              <w:t xml:space="preserve"> </w:t>
            </w:r>
          </w:p>
          <w:p w:rsidR="00E736C5" w:rsidRDefault="00382954">
            <w:pPr>
              <w:spacing w:line="276" w:lineRule="auto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                                                                                                      </w:t>
            </w:r>
            <w:r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  </w:t>
            </w:r>
            <w:r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  </w:t>
            </w:r>
            <w:r>
              <w:rPr>
                <w:rFonts w:ascii="宋体" w:hAnsi="宋体" w:hint="eastAsia"/>
                <w:b/>
              </w:rPr>
              <w:t>日</w:t>
            </w:r>
          </w:p>
        </w:tc>
      </w:tr>
      <w:tr w:rsidR="00E736C5">
        <w:trPr>
          <w:cantSplit/>
          <w:trHeight w:val="2403"/>
          <w:jc w:val="center"/>
        </w:trPr>
        <w:tc>
          <w:tcPr>
            <w:tcW w:w="9358" w:type="dxa"/>
            <w:gridSpan w:val="2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6C5" w:rsidRDefault="00382954">
            <w:pPr>
              <w:spacing w:line="276" w:lineRule="auto"/>
              <w:rPr>
                <w:rFonts w:ascii="宋体" w:hAnsi="宋体"/>
                <w:b/>
              </w:rPr>
            </w:pPr>
            <w:r>
              <w:rPr>
                <w:b/>
              </w:rPr>
              <w:t>此表复印或传真均有效，请务必详细真实填写上述信息。</w:t>
            </w:r>
          </w:p>
          <w:p w:rsidR="00E736C5" w:rsidRDefault="00382954">
            <w:pPr>
              <w:spacing w:line="276" w:lineRule="auto"/>
              <w:rPr>
                <w:b/>
              </w:rPr>
            </w:pPr>
            <w:r>
              <w:rPr>
                <w:b/>
              </w:rPr>
              <w:t>汇款请全部指定账户：</w:t>
            </w:r>
          </w:p>
          <w:p w:rsidR="00E736C5" w:rsidRDefault="00382954">
            <w:r>
              <w:t>学</w:t>
            </w:r>
            <w:r>
              <w:t xml:space="preserve">      </w:t>
            </w:r>
            <w:r>
              <w:t>费：</w:t>
            </w:r>
            <w: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99000</w:t>
            </w:r>
            <w:r>
              <w:t>元</w:t>
            </w:r>
            <w:r>
              <w:t>/</w:t>
            </w:r>
            <w:r>
              <w:t>人</w:t>
            </w:r>
          </w:p>
          <w:p w:rsidR="00E736C5" w:rsidRDefault="00382954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户</w: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t>名：</w:t>
            </w:r>
            <w:r>
              <w:rPr>
                <w:rFonts w:ascii="宋体" w:hAnsi="宋体" w:cs="Arial"/>
                <w:b/>
                <w:szCs w:val="21"/>
              </w:rPr>
              <w:t>北京大学</w:t>
            </w:r>
          </w:p>
          <w:p w:rsidR="00E736C5" w:rsidRDefault="00382954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开户行：</w:t>
            </w:r>
            <w:r>
              <w:rPr>
                <w:rFonts w:ascii="宋体" w:hAnsi="宋体" w:cs="Arial"/>
                <w:b/>
                <w:szCs w:val="21"/>
              </w:rPr>
              <w:t>工行北京海淀西区支行</w:t>
            </w:r>
          </w:p>
          <w:p w:rsidR="00E736C5" w:rsidRDefault="00382954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帐</w: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t>号：</w:t>
            </w:r>
            <w:r>
              <w:rPr>
                <w:rFonts w:ascii="宋体" w:hAnsi="宋体" w:cs="Arial"/>
                <w:b/>
                <w:szCs w:val="21"/>
              </w:rPr>
              <w:t>0200004509089131151</w:t>
            </w:r>
          </w:p>
          <w:p w:rsidR="00E736C5" w:rsidRDefault="00382954">
            <w:r>
              <w:rPr>
                <w:sz w:val="22"/>
              </w:rPr>
              <w:t>汇款注明：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学员姓名</w:t>
            </w:r>
            <w:r>
              <w:rPr>
                <w:rFonts w:ascii="宋体" w:hAnsi="宋体" w:cs="宋体"/>
                <w:b/>
                <w:bCs/>
                <w:szCs w:val="21"/>
              </w:rPr>
              <w:t>+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项目</w:t>
            </w:r>
            <w:r>
              <w:rPr>
                <w:rFonts w:ascii="宋体" w:hAnsi="宋体" w:cs="宋体"/>
                <w:b/>
                <w:bCs/>
                <w:szCs w:val="21"/>
              </w:rPr>
              <w:t>+</w:t>
            </w:r>
            <w:r>
              <w:rPr>
                <w:rFonts w:ascii="宋体" w:hAnsi="宋体" w:cs="宋体"/>
                <w:b/>
                <w:bCs/>
                <w:szCs w:val="21"/>
              </w:rPr>
              <w:t>学费</w:t>
            </w:r>
          </w:p>
        </w:tc>
      </w:tr>
    </w:tbl>
    <w:p w:rsidR="00E736C5" w:rsidRDefault="00382954">
      <w:pPr>
        <w:spacing w:line="400" w:lineRule="exact"/>
        <w:rPr>
          <w:rFonts w:ascii="微软雅黑" w:eastAsia="微软雅黑" w:hAnsi="微软雅黑"/>
        </w:rPr>
      </w:pPr>
      <w:r>
        <w:rPr>
          <w:noProof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7099935</wp:posOffset>
            </wp:positionV>
            <wp:extent cx="5504815" cy="285750"/>
            <wp:effectExtent l="0" t="0" r="0" b="0"/>
            <wp:wrapNone/>
            <wp:docPr id="5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4815" cy="2857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hint="eastAsia"/>
        </w:rPr>
        <w:t>联系人：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张老师</w:t>
      </w:r>
      <w:r>
        <w:rPr>
          <w:rFonts w:ascii="微软雅黑" w:eastAsia="微软雅黑" w:hAnsi="微软雅黑" w:hint="eastAsia"/>
        </w:rPr>
        <w:t xml:space="preserve"> 15</w:t>
      </w:r>
      <w:r w:rsidR="003741CB">
        <w:rPr>
          <w:rFonts w:ascii="微软雅黑" w:eastAsia="微软雅黑" w:hAnsi="微软雅黑" w:hint="eastAsia"/>
        </w:rPr>
        <w:t>101616857</w:t>
      </w:r>
    </w:p>
    <w:p w:rsidR="00E736C5" w:rsidRDefault="00382954">
      <w:pPr>
        <w:spacing w:line="400" w:lineRule="exact"/>
        <w:rPr>
          <w:rFonts w:ascii="Times New Roman" w:eastAsia="宋体" w:hAnsi="Times New Roman"/>
          <w:sz w:val="20"/>
          <w:szCs w:val="20"/>
        </w:rPr>
      </w:pPr>
      <w:r>
        <w:rPr>
          <w:rFonts w:ascii="微软雅黑" w:eastAsia="微软雅黑" w:hAnsi="微软雅黑" w:hint="eastAsia"/>
        </w:rPr>
        <w:t>电</w:t>
      </w:r>
      <w:r>
        <w:rPr>
          <w:rFonts w:ascii="微软雅黑" w:eastAsia="微软雅黑" w:hAnsi="微软雅黑" w:hint="eastAsia"/>
        </w:rPr>
        <w:t xml:space="preserve">   </w:t>
      </w:r>
      <w:r>
        <w:rPr>
          <w:rFonts w:ascii="微软雅黑" w:eastAsia="微软雅黑" w:hAnsi="微软雅黑" w:hint="eastAsia"/>
        </w:rPr>
        <w:t>话：</w:t>
      </w:r>
      <w:r>
        <w:rPr>
          <w:rFonts w:ascii="Tahoma" w:eastAsia="宋体" w:hAnsi="Tahoma"/>
          <w:sz w:val="20"/>
          <w:szCs w:val="20"/>
        </w:rPr>
        <w:t>010-</w:t>
      </w:r>
      <w:r w:rsidR="003741CB">
        <w:rPr>
          <w:rFonts w:ascii="Tahoma" w:eastAsia="宋体" w:hAnsi="Tahoma" w:hint="eastAsia"/>
          <w:sz w:val="20"/>
          <w:szCs w:val="20"/>
        </w:rPr>
        <w:t>87691033</w:t>
      </w:r>
    </w:p>
    <w:p w:rsidR="00E736C5" w:rsidRDefault="00382954">
      <w:pPr>
        <w:spacing w:line="4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邮</w:t>
      </w:r>
      <w:r>
        <w:rPr>
          <w:rFonts w:ascii="微软雅黑" w:eastAsia="微软雅黑" w:hAnsi="微软雅黑" w:hint="eastAsia"/>
        </w:rPr>
        <w:t xml:space="preserve">   </w:t>
      </w:r>
      <w:r>
        <w:rPr>
          <w:rFonts w:ascii="微软雅黑" w:eastAsia="微软雅黑" w:hAnsi="微软雅黑" w:hint="eastAsia"/>
        </w:rPr>
        <w:t>箱：</w:t>
      </w:r>
      <w:r>
        <w:rPr>
          <w:rFonts w:ascii="微软雅黑" w:eastAsia="微软雅黑" w:hAnsi="微软雅黑" w:hint="eastAsia"/>
        </w:rPr>
        <w:t xml:space="preserve">  </w:t>
      </w:r>
      <w:r w:rsidR="003741CB">
        <w:rPr>
          <w:rFonts w:ascii="微软雅黑" w:eastAsia="微软雅黑" w:hAnsi="微软雅黑" w:hint="eastAsia"/>
        </w:rPr>
        <w:t>ceoke8</w:t>
      </w:r>
      <w:r>
        <w:rPr>
          <w:rFonts w:ascii="微软雅黑" w:eastAsia="微软雅黑" w:hAnsi="微软雅黑" w:hint="eastAsia"/>
        </w:rPr>
        <w:t>@163.</w:t>
      </w:r>
      <w:r>
        <w:rPr>
          <w:rFonts w:ascii="微软雅黑" w:eastAsia="微软雅黑" w:hAnsi="微软雅黑"/>
        </w:rPr>
        <w:t>com</w:t>
      </w:r>
      <w:r>
        <w:rPr>
          <w:noProof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8413750</wp:posOffset>
            </wp:positionV>
            <wp:extent cx="5504815" cy="285750"/>
            <wp:effectExtent l="0" t="0" r="0" b="0"/>
            <wp:wrapNone/>
            <wp:docPr id="6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4815" cy="2857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sectPr w:rsidR="00E736C5" w:rsidSect="00E736C5">
      <w:endnotePr>
        <w:numFmt w:val="decimal"/>
      </w:endnotePr>
      <w:pgSz w:w="11906" w:h="16838"/>
      <w:pgMar w:top="720" w:right="1134" w:bottom="72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954" w:rsidRDefault="00382954" w:rsidP="003741CB">
      <w:r>
        <w:separator/>
      </w:r>
    </w:p>
  </w:endnote>
  <w:endnote w:type="continuationSeparator" w:id="1">
    <w:p w:rsidR="00382954" w:rsidRDefault="00382954" w:rsidP="00374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954" w:rsidRDefault="00382954" w:rsidP="003741CB">
      <w:r>
        <w:separator/>
      </w:r>
    </w:p>
  </w:footnote>
  <w:footnote w:type="continuationSeparator" w:id="1">
    <w:p w:rsidR="00382954" w:rsidRDefault="00382954" w:rsidP="003741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characterSpacingControl w:val="doNotCompress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numFmt w:val="decimal"/>
    <w:endnote w:id="0"/>
    <w:endnote w:id="1"/>
  </w:endnotePr>
  <w:compat>
    <w:doNotExpandShiftReturn/>
    <w:useFELayout/>
  </w:compat>
  <w:rsids>
    <w:rsidRoot w:val="00E736C5"/>
    <w:rsid w:val="003741CB"/>
    <w:rsid w:val="00382954"/>
    <w:rsid w:val="00E736C5"/>
    <w:rsid w:val="13734A01"/>
    <w:rsid w:val="2E9D2027"/>
    <w:rsid w:val="3FDC11C8"/>
    <w:rsid w:val="41FF4AD1"/>
    <w:rsid w:val="45161D87"/>
    <w:rsid w:val="4C732F9E"/>
    <w:rsid w:val="69D03BA7"/>
    <w:rsid w:val="74455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er" w:semiHidden="0" w:uiPriority="0" w:unhideWhenUsed="0" w:qFormat="1"/>
    <w:lsdException w:name="footer" w:semiHidden="0" w:uiPriority="0" w:unhideWhenUsed="0" w:qFormat="1"/>
    <w:lsdException w:name="Default Paragraph Font" w:semiHidden="0" w:uiPriority="0" w:unhideWhenUsed="0" w:qFormat="1"/>
    <w:lsdException w:name="Body Text" w:semiHidden="0" w:uiPriority="0" w:unhideWhenUsed="0" w:qFormat="1"/>
    <w:lsdException w:name="Strong" w:semiHidden="0" w:uiPriority="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Char"/>
    <w:qFormat/>
    <w:rsid w:val="00E736C5"/>
    <w:pPr>
      <w:widowControl w:val="0"/>
      <w:jc w:val="both"/>
    </w:pPr>
    <w:rPr>
      <w:rFonts w:eastAsia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rsid w:val="00E736C5"/>
    <w:pPr>
      <w:widowControl w:val="0"/>
      <w:spacing w:after="120"/>
      <w:jc w:val="both"/>
    </w:pPr>
    <w:rPr>
      <w:rFonts w:ascii="Times New Roman" w:eastAsia="宋体" w:hAnsi="Times New Roman"/>
      <w:kern w:val="1"/>
      <w:sz w:val="21"/>
      <w:szCs w:val="24"/>
    </w:rPr>
  </w:style>
  <w:style w:type="paragraph" w:styleId="a4">
    <w:name w:val="Balloon Text"/>
    <w:qFormat/>
    <w:rsid w:val="00E736C5"/>
    <w:pPr>
      <w:widowControl w:val="0"/>
      <w:jc w:val="both"/>
    </w:pPr>
    <w:rPr>
      <w:rFonts w:eastAsia="Calibri"/>
      <w:kern w:val="1"/>
      <w:sz w:val="18"/>
      <w:szCs w:val="18"/>
    </w:rPr>
  </w:style>
  <w:style w:type="paragraph" w:styleId="a5">
    <w:name w:val="footer"/>
    <w:qFormat/>
    <w:rsid w:val="00E736C5"/>
    <w:pPr>
      <w:widowControl w:val="0"/>
    </w:pPr>
    <w:rPr>
      <w:rFonts w:eastAsia="Calibri"/>
      <w:kern w:val="1"/>
      <w:sz w:val="18"/>
      <w:szCs w:val="18"/>
    </w:rPr>
  </w:style>
  <w:style w:type="paragraph" w:styleId="a6">
    <w:name w:val="header"/>
    <w:qFormat/>
    <w:rsid w:val="00E736C5"/>
    <w:pPr>
      <w:widowControl w:val="0"/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solid" w:color="auto" w:fill="auto"/>
      <w:jc w:val="center"/>
    </w:pPr>
    <w:rPr>
      <w:rFonts w:eastAsia="Calibri"/>
      <w:kern w:val="1"/>
      <w:sz w:val="18"/>
      <w:szCs w:val="18"/>
    </w:rPr>
  </w:style>
  <w:style w:type="paragraph" w:styleId="a7">
    <w:name w:val="Normal (Web)"/>
    <w:qFormat/>
    <w:rsid w:val="00E736C5"/>
    <w:pPr>
      <w:spacing w:before="100" w:beforeAutospacing="1" w:after="100" w:afterAutospacing="1"/>
    </w:pPr>
    <w:rPr>
      <w:rFonts w:ascii="宋体" w:eastAsia="宋体" w:hAnsi="宋体" w:cs="宋体"/>
      <w:kern w:val="1"/>
      <w:sz w:val="24"/>
      <w:szCs w:val="24"/>
    </w:rPr>
  </w:style>
  <w:style w:type="character" w:styleId="a8">
    <w:name w:val="Strong"/>
    <w:qFormat/>
    <w:rsid w:val="00E736C5"/>
    <w:rPr>
      <w:b/>
      <w:bCs/>
    </w:rPr>
  </w:style>
  <w:style w:type="paragraph" w:customStyle="1" w:styleId="p0">
    <w:name w:val="p0"/>
    <w:qFormat/>
    <w:rsid w:val="00E736C5"/>
    <w:pPr>
      <w:spacing w:before="100" w:beforeAutospacing="1" w:after="100" w:afterAutospacing="1"/>
    </w:pPr>
    <w:rPr>
      <w:rFonts w:ascii="宋体" w:eastAsia="宋体" w:hAnsi="宋体" w:cs="宋体"/>
      <w:kern w:val="1"/>
      <w:sz w:val="24"/>
      <w:szCs w:val="24"/>
    </w:rPr>
  </w:style>
  <w:style w:type="paragraph" w:customStyle="1" w:styleId="1">
    <w:name w:val="无间隔1"/>
    <w:qFormat/>
    <w:rsid w:val="00E736C5"/>
    <w:pPr>
      <w:widowControl w:val="0"/>
      <w:jc w:val="both"/>
    </w:pPr>
    <w:rPr>
      <w:rFonts w:eastAsia="Calibri"/>
      <w:kern w:val="1"/>
      <w:sz w:val="21"/>
      <w:szCs w:val="22"/>
    </w:rPr>
  </w:style>
  <w:style w:type="character" w:customStyle="1" w:styleId="Char0">
    <w:name w:val="页眉 Char"/>
    <w:qFormat/>
    <w:rsid w:val="00E736C5"/>
    <w:rPr>
      <w:sz w:val="18"/>
      <w:szCs w:val="18"/>
    </w:rPr>
  </w:style>
  <w:style w:type="character" w:customStyle="1" w:styleId="Char1">
    <w:name w:val="页脚 Char"/>
    <w:qFormat/>
    <w:rsid w:val="00E736C5"/>
    <w:rPr>
      <w:sz w:val="18"/>
      <w:szCs w:val="18"/>
    </w:rPr>
  </w:style>
  <w:style w:type="character" w:customStyle="1" w:styleId="Char2">
    <w:name w:val="批注框文本 Char"/>
    <w:qFormat/>
    <w:rsid w:val="00E736C5"/>
    <w:rPr>
      <w:sz w:val="18"/>
      <w:szCs w:val="18"/>
    </w:rPr>
  </w:style>
  <w:style w:type="character" w:customStyle="1" w:styleId="Char">
    <w:name w:val="正文文本 Char"/>
    <w:qFormat/>
    <w:rsid w:val="00E736C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Administrator</cp:lastModifiedBy>
  <cp:revision>33</cp:revision>
  <dcterms:created xsi:type="dcterms:W3CDTF">2016-12-27T01:27:00Z</dcterms:created>
  <dcterms:modified xsi:type="dcterms:W3CDTF">2017-09-04T17:37:00Z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